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старшей группы «Социально-коммуникативное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 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Социальные отношения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себе, своих правах, членах семьи, родственных отношениях, профессиях, семейных событиях и датах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гендерных различиях в разных видах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правилах культуры общения и поведения во взаимодействии со сверстниками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умения договариваться, выражать отношение, предотвращать и преодолевать конфликтные ситуации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понимать ярко выраженные эмоциональные состояния  и чувства людей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правилах поведения в общественных местах, на улице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Формирование основ гражданственности и патриотизма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России как многонациональной стране, традициях и особенностях людей разных национальностей малой родины, государственных праздниках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Трудовое воспитание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труде взрослых, профессиях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знаниями о трудовых действиях в сфере производительного и обслуживающего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знаниями о назначении денег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Формирование основ безопасного поведения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правилах безопасного поведения на улице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правилах поведения в общественных местах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правилах поведения в природе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правилах поведения в реальном общении с незнакомыми людьми, в том числе в сети интернет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4a1fcb4e76544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